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8"/>
          <w:szCs w:val="28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  </w:t>
      </w: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ascii="Arial" w:hAnsi="Arial" w:eastAsia="Times New Roman" w:cs="Arial"/>
          <w:b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ПРОЕКТ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ГУБКИНСКИЙ ГОРОДСКОЙ ОКРУГ</w:t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БЕЛГОРОДСКОЙ ОБЛАСТИ</w:t>
      </w:r>
      <w:r>
        <w:rPr>
          <w:rFonts w:ascii="Arial" w:hAnsi="Arial" w:eastAsia="Times New Roman" w:cs="Arial"/>
          <w:sz w:val="24"/>
          <w:szCs w:val="24"/>
          <w:lang w:eastAsia="ru-RU"/>
        </w:rPr>
      </w:r>
      <w:r>
        <w:rPr>
          <w:rFonts w:ascii="Arial" w:hAnsi="Arial" w:eastAsia="Times New Roman" w:cs="Arial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ind w:right="-284"/>
        <w:jc w:val="center"/>
        <w:spacing w:after="0" w:line="240" w:lineRule="auto"/>
        <w:widowControl w:val="off"/>
        <w:rPr>
          <w:rFonts w:ascii="Arial Narrow" w:hAnsi="Arial Narrow" w:eastAsia="Times New Roman" w:cs="Arial"/>
          <w:b/>
          <w:bCs/>
          <w:sz w:val="34"/>
          <w:szCs w:val="34"/>
        </w:rPr>
        <w:outlineLvl w:val="0"/>
      </w:pPr>
      <w:r>
        <w:rPr>
          <w:rFonts w:ascii="Arial Narrow" w:hAnsi="Arial Narrow" w:eastAsia="Times New Roman" w:cs="Arial"/>
          <w:b/>
          <w:bCs/>
          <w:sz w:val="34"/>
          <w:szCs w:val="34"/>
          <w:lang w:eastAsia="ru-RU"/>
        </w:rPr>
        <w:t xml:space="preserve">АДМИНИСТРАЦИЯ ГУБКИНСКОГО ГОРОДСКОГО ОКРУГА</w:t>
      </w:r>
      <w:r>
        <w:rPr>
          <w:rFonts w:ascii="Arial Narrow" w:hAnsi="Arial Narrow" w:eastAsia="Times New Roman" w:cs="Arial"/>
          <w:b/>
          <w:bCs/>
          <w:sz w:val="34"/>
          <w:szCs w:val="34"/>
        </w:rPr>
      </w:r>
      <w:r>
        <w:rPr>
          <w:rFonts w:ascii="Arial Narrow" w:hAnsi="Arial Narrow" w:eastAsia="Times New Roman" w:cs="Arial"/>
          <w:b/>
          <w:bCs/>
          <w:sz w:val="34"/>
          <w:szCs w:val="34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bCs/>
          <w:sz w:val="34"/>
          <w:szCs w:val="34"/>
        </w:rPr>
        <w:outlineLvl w:val="0"/>
      </w:pPr>
      <w:r>
        <w:rPr>
          <w:rFonts w:ascii="Arial" w:hAnsi="Arial" w:eastAsia="Times New Roman" w:cs="Arial"/>
          <w:b/>
          <w:bCs/>
          <w:sz w:val="34"/>
          <w:szCs w:val="34"/>
          <w:lang w:eastAsia="ru-RU"/>
        </w:rPr>
      </w:r>
      <w:r>
        <w:rPr>
          <w:rFonts w:ascii="Arial" w:hAnsi="Arial" w:eastAsia="Times New Roman" w:cs="Arial"/>
          <w:b/>
          <w:bCs/>
          <w:sz w:val="34"/>
          <w:szCs w:val="34"/>
        </w:rPr>
      </w:r>
      <w:r>
        <w:rPr>
          <w:rFonts w:ascii="Arial" w:hAnsi="Arial" w:eastAsia="Times New Roman" w:cs="Arial"/>
          <w:b/>
          <w:bCs/>
          <w:sz w:val="34"/>
          <w:szCs w:val="34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sz w:val="32"/>
          <w:szCs w:val="32"/>
          <w:lang w:eastAsia="ru-RU"/>
        </w:rPr>
        <w:outlineLvl w:val="0"/>
      </w:pPr>
      <w:r>
        <w:rPr>
          <w:rFonts w:ascii="Arial" w:hAnsi="Arial" w:eastAsia="Times New Roman" w:cs="Arial"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eastAsia="Times New Roman" w:cs="Arial"/>
          <w:sz w:val="32"/>
          <w:szCs w:val="32"/>
          <w:lang w:eastAsia="ru-RU"/>
        </w:rPr>
      </w:r>
      <w:r>
        <w:rPr>
          <w:rFonts w:ascii="Arial" w:hAnsi="Arial" w:eastAsia="Times New Roman" w:cs="Arial"/>
          <w:sz w:val="32"/>
          <w:szCs w:val="32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17"/>
          <w:szCs w:val="17"/>
          <w:lang w:eastAsia="ru-RU"/>
        </w:rPr>
      </w:pPr>
      <w:r>
        <w:rPr>
          <w:rFonts w:ascii="Arial" w:hAnsi="Arial" w:eastAsia="Times New Roman" w:cs="Arial"/>
          <w:b/>
          <w:sz w:val="17"/>
          <w:szCs w:val="17"/>
          <w:lang w:eastAsia="ru-RU"/>
        </w:rPr>
        <w:t xml:space="preserve">Губкин</w:t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spacing w:after="0"/>
        <w:tabs>
          <w:tab w:val="left" w:pos="709" w:leader="none"/>
        </w:tabs>
        <w:rPr>
          <w:rFonts w:ascii="Arial" w:hAnsi="Arial" w:cs="Arial"/>
          <w:b/>
          <w:sz w:val="18"/>
          <w:szCs w:val="18"/>
          <w:u w:val="single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 xml:space="preserve">“ 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_____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"    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____________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  2026 г.    </w:t>
      </w:r>
      <w:r>
        <w:rPr>
          <w:rFonts w:ascii="Arial" w:hAnsi="Arial" w:cs="Arial"/>
          <w:b/>
          <w:sz w:val="18"/>
          <w:szCs w:val="18"/>
          <w:lang w:eastAsia="ar-SA"/>
        </w:rPr>
        <w:tab/>
        <w:t xml:space="preserve">                                                                                                    № 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_______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</w:r>
    </w:p>
    <w:p>
      <w:pPr>
        <w:pStyle w:val="88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Об утверждении документа </w:t>
        <w:br/>
        <w:t xml:space="preserve">планирования 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регулярных перевозок</w:t>
        <w:br/>
        <w:t xml:space="preserve">пассажиров и багажа автомобильным </w:t>
        <w:br/>
        <w:t xml:space="preserve">транспортом по муниципальным </w:t>
        <w:br/>
        <w:t xml:space="preserve">маршрутам регулярных перевозок </w:t>
        <w:br/>
      </w:r>
      <w:r>
        <w:rPr>
          <w:rFonts w:ascii="Times New Roman" w:hAnsi="Times New Roman" w:eastAsia="Calibri" w:cs="Times New Roman"/>
          <w:b/>
          <w:bCs/>
          <w:sz w:val="28"/>
          <w:szCs w:val="28"/>
          <w:highlight w:val="white"/>
        </w:rPr>
        <w:t xml:space="preserve">на территории</w:t>
      </w:r>
      <w:r>
        <w:rPr>
          <w:rFonts w:ascii="Times New Roman" w:hAnsi="Times New Roman" w:eastAsia="Calibri" w:cs="Times New Roman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Губкинского городского</w:t>
        <w:br/>
        <w:t xml:space="preserve">округа Белгородской области 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В соответствии с Федеральными законами от 06 октября 2003 года                  № 131-ФЗ «Об общих принципах организации местного сам</w:t>
      </w:r>
      <w:r>
        <w:rPr>
          <w:rFonts w:ascii="Times New Roman" w:hAnsi="Times New Roman" w:eastAsia="Calibri" w:cs="Times New Roman"/>
          <w:sz w:val="28"/>
          <w:szCs w:val="28"/>
        </w:rPr>
        <w:t xml:space="preserve">оуправления в       Российской Федерации», от 13 июля 2015 года № 220-ФЗ «Об организации         регулярных перевозок пассажиров и багажа автомобильным транспортом и        городским наземным электрическим транспортом в Российской Федерации и о внесении из</w:t>
      </w:r>
      <w:r>
        <w:rPr>
          <w:rFonts w:ascii="Times New Roman" w:hAnsi="Times New Roman" w:eastAsia="Calibri" w:cs="Times New Roman"/>
          <w:sz w:val="28"/>
          <w:szCs w:val="28"/>
        </w:rPr>
        <w:t xml:space="preserve">менений в отдельные законодательные акты Российской                      Федерации», Уставом Губкинского городского округа Белгородской области,   постановлением администрации Губкинского городского от 07 ноября 2023 года № 1563-па «Об утверждении Порядка </w:t>
      </w:r>
      <w:r>
        <w:rPr>
          <w:rFonts w:ascii="Times New Roman" w:hAnsi="Times New Roman" w:eastAsia="Calibri" w:cs="Times New Roman"/>
          <w:sz w:val="28"/>
          <w:szCs w:val="28"/>
        </w:rPr>
        <w:t xml:space="preserve">подготовки документа планирования        регулярных перевозок пассажиров и багажа автомобильным транспортом по    муниципальным маршрутам регулярных перевозок Губкинского городского округа Белгородской области», администрация Губкинского городского округа 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ПОСТАНОВЛЯЕТ:</w:t>
      </w: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 планирования регулярных перевозок пассажиров и багажа автомобильным транспортом по муниципальным маршрутам </w:t>
        <w:br/>
        <w:t xml:space="preserve">регулярных перевозок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территории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 городского округа </w:t>
        <w:br/>
        <w:t xml:space="preserve">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(прилагается).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Признать утратившим силу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постановление администрации Губкинского городского округа 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21 декабря 2023 года № 1817-па «Об утверждении </w:t>
        <w:br/>
        <w:t xml:space="preserve">документа планирования регулярных перевозок пассажиров и багажа </w:t>
        <w:br/>
        <w:t xml:space="preserve">автомобильным транспортом по муниципальным маршрутам </w:t>
        <w:br/>
        <w:t xml:space="preserve"> перевозок Губкинского городского округа Белгородской области </w:t>
        <w:br/>
        <w:t xml:space="preserve">на 2024-2028 годы»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Опубликовать постановление в средствах массовой информации.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ab/>
        <w:t xml:space="preserve">4</w:t>
      </w:r>
      <w:r>
        <w:rPr>
          <w:rFonts w:ascii="Times New Roman" w:hAnsi="Times New Roman" w:eastAsia="Calibri" w:cs="Times New Roman"/>
          <w:sz w:val="28"/>
          <w:szCs w:val="28"/>
        </w:rPr>
        <w:t xml:space="preserve">. Контроль за исполнением постановления возложить на заместителя главы администрации по комплексному развитию сельских территорий и </w:t>
      </w:r>
      <w:r>
        <w:rPr>
          <w:rFonts w:ascii="Times New Roman" w:hAnsi="Times New Roman" w:eastAsia="Calibri" w:cs="Times New Roman"/>
          <w:sz w:val="28"/>
          <w:szCs w:val="28"/>
        </w:rPr>
        <w:t xml:space="preserve">           </w:t>
      </w:r>
      <w:r>
        <w:rPr>
          <w:rFonts w:ascii="Times New Roman" w:hAnsi="Times New Roman" w:eastAsia="Calibri" w:cs="Times New Roman"/>
          <w:sz w:val="28"/>
          <w:szCs w:val="28"/>
        </w:rPr>
        <w:t xml:space="preserve">агропромышленному производству </w:t>
      </w:r>
      <w:r>
        <w:rPr>
          <w:rFonts w:ascii="Times New Roman" w:hAnsi="Times New Roman" w:eastAsia="Calibri" w:cs="Times New Roman"/>
          <w:sz w:val="28"/>
          <w:szCs w:val="28"/>
        </w:rPr>
        <w:t xml:space="preserve">Никулова</w:t>
      </w:r>
      <w:r>
        <w:rPr>
          <w:rFonts w:ascii="Times New Roman" w:hAnsi="Times New Roman" w:eastAsia="Calibri" w:cs="Times New Roman"/>
          <w:sz w:val="28"/>
          <w:szCs w:val="28"/>
        </w:rPr>
        <w:t xml:space="preserve"> А.С.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исполняющий полномочия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Губкинского городского округа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В.Г. Голиков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Утвержден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постановлением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администрации Губкинского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городского округа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от «   » _______ 202_ г. № ____-па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left="0" w:right="0" w:firstLine="53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jc w:val="both"/>
      </w:pPr>
      <w:r/>
      <w:r/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0" w:name="undefined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ПЛАНИРОВАНИЯ РЕГУЛЯРНЫХ ПЕРЕВОЗОК ПАССАЖИРОВ И БАГАЖА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АВТОМОБИЛЬНЫМ ТРАНСПОРТОМ ПО </w:t>
        <w:br/>
        <w:t xml:space="preserve">МУНИЦИПАЛЬНЫМ МАРШРУТАМ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РЕГУЛЯРНЫХ ПЕРЕВОЗОК</w:t>
        <w:br/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ГУБКИНСКОГО ГОРОДСКОГО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ОКРУГА БЕЛГОРОДСКОЙ ОБЛАСТИ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eastAsia="Times New Roman" w:cs="Times New Roman"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9"/>
        <w:ind w:firstLine="720"/>
        <w:jc w:val="center"/>
        <w:spacing w:before="0" w:beforeAutospacing="0"/>
        <w:rPr>
          <w:rFonts w:ascii="Times New Roman" w:hAnsi="Times New Roman" w:eastAsia="Times New Roman" w:cs="Times New Roman"/>
          <w:sz w:val="28"/>
          <w:szCs w:val="28"/>
          <w:highlight w:val="none"/>
        </w:rPr>
        <w:outlineLvl w:val="1"/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cent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 планирования регулярных перевозок пассажиров и багажа автомобильным транспортом по муниципальным маршрутам регулярных </w:t>
        <w:br/>
        <w:t xml:space="preserve">перевозок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бкинского городского округа Белгородской области</w:t>
        <w:br/>
        <w:t xml:space="preserve">(далее - Документ планирования)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разработан в соответствии с Федеральным </w:t>
      </w:r>
      <w:hyperlink r:id="rId12" w:tooltip="https://login.consultant.ru/link/?req=doc&amp;base=LAW&amp;n=456504&amp;dst=323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br/>
          <w:t xml:space="preserve">законом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от 13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юля 2015 года № 220-ФЗ «Об организации регулярных перевозок пассажиров и багажа автомобильным транспортом и городским наземным </w:t>
        <w:br/>
        <w:t xml:space="preserve">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постановлением </w:t>
        <w:br/>
        <w:t xml:space="preserve">администрации Губкинского городского от 07 ноября 2023 года № 1563-па «Об утверждении Порядка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подготовки документа планирования регулярных </w:t>
        <w:br/>
        <w:t xml:space="preserve">перевозок пассажиров и багажа автомобильным транспортом по </w:t>
        <w:br/>
        <w:t xml:space="preserve">муниципальным маршрутам регулярных перевозок Губкинского городского округа Белгородской области».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1.2. Документ планирования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устанавливает перечень мероприятий по </w:t>
        <w:br/>
        <w:t xml:space="preserve">развитию регулярных перевозок пассажиров и багажа автомобильным </w:t>
        <w:br/>
        <w:t xml:space="preserve">транспортом по муниципальным маршрутам регулярных перевозок на </w:t>
        <w:br/>
        <w:t xml:space="preserve">территории Губкинского городского округа.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Планируемые мероприятия направлены на создание условий, </w:t>
        <w:br/>
        <w:t xml:space="preserve">обеспечивающих удовлетворение спроса населения Губкинского городского округа на транспортные услуги.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1.3. Для целей Документа планирования используются термины и </w:t>
        <w:br/>
        <w:t xml:space="preserve">понятия, применяемые в значениях, определенных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федеральным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  <w:br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законодательством Российской Федерации и законодательством Белгородской области.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5"/>
        <w:ind w:firstLine="708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Целью развития регулярных перевозок пассажиров и багажа </w:t>
        <w:br/>
        <w:t xml:space="preserve">автомобильным транспортом по муниципальным марш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рутам регулярных </w:t>
        <w:br/>
        <w:t xml:space="preserve">перевозок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территории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 городского округа Белгородской области (далее - 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маршруты регулярных перевозок)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tabs>
          <w:tab w:val="left" w:pos="3581" w:leader="none"/>
        </w:tabs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формирование оптимальной маршрутной сети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муниципальных  </w:t>
        <w:br/>
        <w:t xml:space="preserve">маршрутов регулярных перевозок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том числе  сезонных маршрутов;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5"/>
        <w:ind w:firstLine="540"/>
        <w:jc w:val="both"/>
        <w:spacing w:before="0" w:beforeAutospacing="0"/>
        <w:tabs>
          <w:tab w:val="left" w:pos="35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 повышение уровня удовлетворенности населения транспортным </w:t>
        <w:br/>
        <w:t xml:space="preserve">обслуживанием;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обеспечение регулярности движения автобусов по маршрутам </w:t>
        <w:br/>
        <w:t xml:space="preserve">регулярных перевозок;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повышение безопасности транспортного обслуживания населения;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 повышение транспортной доступности удаленных районов, а также </w:t>
        <w:br/>
        <w:t xml:space="preserve">районов индивидуальной жилой застройки;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повышение качества, удобства, комфортности регулярных перевозок </w:t>
        <w:br/>
        <w:t xml:space="preserve">пассажиров;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улучшение транспортного обслуживания граждан, относящихся к </w:t>
        <w:br/>
        <w:t xml:space="preserve">маломобильным группам населения;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совершенствование транспортной инфраструктуры, необходимой для осуществления пассажирских перевозок.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1.5. В рамках достижения указанных целей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приоритетами развития </w:t>
        <w:br/>
        <w:t xml:space="preserve">перевозок по маршрутам регулярных перевозок 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проведение анализа потребностей населения в транспортном </w:t>
        <w:br/>
        <w:t xml:space="preserve">обслуживании по маршрутам регулярных перевозок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left="0" w:firstLine="708"/>
        <w:jc w:val="both"/>
        <w:spacing w:before="0" w:beforeAutospacing="0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формирование маршрутной сети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регулярных перевозок пассажиров и </w:t>
        <w:br/>
        <w:t xml:space="preserve">багажа по маршрутам регулярных перевозок (далее - маршрутная сеть)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учетом снижения дублирования маршрутов;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5"/>
        <w:ind w:firstLine="720"/>
        <w:jc w:val="both"/>
        <w:spacing w:before="0" w:beforeAutospacing="0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повышение эффективности системы управления и контроля за </w:t>
        <w:br/>
        <w:t xml:space="preserve">осуществлением  перевозок пассажиров и багажа по маршрутам регулярных </w:t>
        <w:br/>
        <w:t xml:space="preserve">перевозок посредством мониторинга, в том числе за счет использования данных системы спутниковой навигации.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1.6. Формирование  маршрутной сети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включая открытие новых  маршрутов регулярных перевозок, изменение, а также отмена существующих маршрутов регулярных перевозок осуществляе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 учетом све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дений: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eastAsia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о развитии Губкинского городского округа Белгородской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 и (или) о создании центров притяжения пассажиров на территории Губкинского </w:t>
        <w:br/>
        <w:t xml:space="preserve">городского округа Белгородской области, изменении пассажиропотоков, </w:t>
        <w:br/>
        <w:t xml:space="preserve">сведений о формировании дорожной и транспортной инфраструктуры;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о пассажиропотоках на маршрутах регулярных перевозок.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0"/>
        <w:jc w:val="both"/>
        <w:spacing w:before="0" w:beforeAutospacing="0"/>
        <w:rPr>
          <w:rFonts w:ascii="Times New Roman" w:hAnsi="Times New Roman" w:eastAsia="Times New Roman" w:cs="Times New Roman"/>
          <w:color w:val="ff000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highlight w:val="none"/>
        </w:rPr>
      </w:r>
    </w:p>
    <w:p>
      <w:pPr>
        <w:pStyle w:val="895"/>
        <w:ind w:firstLine="720"/>
        <w:jc w:val="center"/>
        <w:spacing w:before="0" w:beforeAutospacing="0"/>
        <w:rPr>
          <w:rFonts w:ascii="Times New Roman" w:hAnsi="Times New Roman" w:eastAsia="Times New Roman" w:cs="Times New Roman"/>
          <w:b/>
          <w:bCs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Мероприятия по развитию регулярных перевозок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95"/>
        <w:ind w:firstLine="720"/>
        <w:jc w:val="center"/>
        <w:spacing w:before="0" w:beforeAutospacing="0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пассажиров и багажа по  маршрутам </w:t>
        <w:br/>
        <w:t xml:space="preserve">регулярных перевозок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spacing w:before="0" w:beforeAutospacing="0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2.1. Транспортное обслуживание населения осуществляется по маршрутам регулярных перевозок, указанным в </w:t>
      </w:r>
      <w:hyperlink w:tooltip="#P96" w:anchor="P96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приложении № 1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к Документу </w:t>
        <w:br/>
        <w:t xml:space="preserve">планирования.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Планируется изменить маршруты регулярных перевозок согласно </w:t>
        <w:br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hyperlink w:tooltip="#P774" w:anchor="P774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2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к Документу планирования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Планируется отменить маршруты регулярных перевозок согласно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hyperlink w:tooltip="#P774" w:anchor="P774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3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Документу планирования.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2.4. Исполнителями мероприятий, указанных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пунктах  2.1.-2.3. раздела 2 Документа планирования, являются  управление транспорта, связи и </w:t>
        <w:br/>
        <w:t xml:space="preserve">телекоммуникаций администрации Губкинского городского округа,  </w:t>
        <w:br/>
        <w:t xml:space="preserve">муниципальное казенное учреждение «Губкинский пассажирский автосервис».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cent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9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 График заключения муниципальных контрактов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выполнение работ, связанных с осуществлением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регулярных </w:t>
        <w:br/>
        <w:t xml:space="preserve">перевозок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пассажиров и багажа автомобильным транспортом </w:t>
        <w:br/>
        <w:t xml:space="preserve">по регулируемым тарифам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3.1.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hyperlink w:tooltip="#P803" w:anchor="P803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График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заключения муниципальных контрактов на выполнение работ,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связанных с осуществлением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регулярных перевозок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пассажиров и багажа </w:t>
        <w:br/>
        <w:t xml:space="preserve">автомобильным транспортом по регулируемым тарифам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устанавливается </w:t>
        <w:br/>
        <w:t xml:space="preserve">согласно приложению № 4 к Документу планирования.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540"/>
        <w:jc w:val="both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3.2. Ответственным исполнителем мероприятий, указанных в пункте 3.1 раздела 3 Документа планирования, является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муниципальное казенное </w:t>
        <w:br/>
        <w:t xml:space="preserve">учреждение «Губкинский пассажирский автосервис».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20"/>
        <w:jc w:val="center"/>
        <w:spacing w:before="0" w:beforeAutospacing="0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Документу планирования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пассажиров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багажа автомобильным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транспортом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по муниципальным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маршрутам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4394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регулярных перевозок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Губкинского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left"/>
        <w:spacing w:line="28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left"/>
        <w:spacing w:line="28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7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716"/>
        <w:gridCol w:w="2692"/>
        <w:gridCol w:w="3119"/>
        <w:gridCol w:w="2409"/>
      </w:tblGrid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spacing w:line="283" w:lineRule="atLeas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№ п/п</w: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83" w:lineRule="atLeast"/>
              <w:widowControl w:val="o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Номер маршрута</w: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spacing w:line="28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маршрута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83" w:lineRule="atLeast"/>
              <w:widowControl w:val="o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Путь </w:t>
              <w:br/>
              <w:t xml:space="preserve">следования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spacing w:line="28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перевозок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83" w:lineRule="atLeast"/>
              <w:widowControl w:val="o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 - </w:t>
              <w:br/>
              <w:t xml:space="preserve">шахта им. Губкина» </w:t>
              <w:br/>
              <w:t xml:space="preserve">(кольцевой)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             </w:t>
              <w:br/>
              <w:t xml:space="preserve">ул. Комсомольская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Горноспасателей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  <w:br/>
              <w:t xml:space="preserve">ул. Железнодорожная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  <w:br/>
              <w:t xml:space="preserve"> 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9-е Января -</w:t>
              <w:br/>
              <w:t xml:space="preserve">мкр.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Йотовка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- </w:t>
              <w:br/>
              <w:t xml:space="preserve">мкр. Лебеди»</w:t>
              <w:br/>
              <w:t xml:space="preserve"> 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      </w:t>
              <w:br/>
              <w:t xml:space="preserve">ул. Комсомольская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Лизы Чайкиной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 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Транспортная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Горноспасателей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3а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 -</w:t>
              <w:br/>
              <w:t xml:space="preserve">мкр. Лебеди - </w:t>
              <w:br/>
              <w:t xml:space="preserve">мкр.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Йотовка»</w:t>
              <w:br/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Лизы Чайкиной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Революционная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4б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 - </w:t>
              <w:br/>
              <w:t xml:space="preserve">мкр. Журавлики -</w:t>
              <w:br/>
              <w:t xml:space="preserve">мкр. Салтыково» </w:t>
              <w:br/>
              <w:t xml:space="preserve">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Подъезд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мкр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. Журавлики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 </w:t>
              <w:br/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«ул. Дзержинского - </w:t>
              <w:br/>
              <w:t xml:space="preserve">мкр. Салтыково -</w:t>
              <w:br/>
              <w:t xml:space="preserve">гор. Кладбище</w:t>
              <w:br/>
              <w:t xml:space="preserve">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Сергиевская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подъезд к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ородскому Кладбищу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Белгордская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 -</w:t>
              <w:br/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Новоселовка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 </w:t>
              <w:br/>
              <w:t xml:space="preserve">гор. Кладбище»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Сергиевская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Новоселовская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Раздольная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Раздольная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Новоселовская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Сергиевская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Подъезд к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ородскому кладбищу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Короча-Губкин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«пл. Скворцова - </w:t>
              <w:br/>
              <w:t xml:space="preserve">мкр. Журавлики» </w:t>
              <w:br/>
              <w:t xml:space="preserve">(кольцевой)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 -</w:t>
              <w:br/>
              <w:t xml:space="preserve">мкр. Лукьяновка» </w:t>
              <w:br/>
              <w:t xml:space="preserve">(кольцевой)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Народная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ная)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Курская)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 -</w:t>
              <w:br/>
              <w:t xml:space="preserve">мкр. Лукьяновка </w:t>
              <w:br/>
              <w:t xml:space="preserve">(кольцевой)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Курская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Народная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Курская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 -</w:t>
              <w:br/>
              <w:t xml:space="preserve">ул. Королева» </w:t>
              <w:br/>
              <w:t xml:space="preserve">(кольцевой)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                 </w:t>
              <w:br/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            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 -АТУ АО «ЛГОК»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«пл.  Скворцова -</w:t>
              <w:br/>
              <w:t xml:space="preserve">ул. Чайковского -</w:t>
              <w:br/>
              <w:t xml:space="preserve">ул. Преображенская - Собор» </w:t>
              <w:br/>
              <w:t xml:space="preserve">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Королёва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Циол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Губкина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Комарова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Заречная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Луговая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Заречная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Комарова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Садовая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13.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15а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«Центральный рынок -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 </w:t>
              <w:br/>
              <w:t xml:space="preserve">мкр. Юбилейный - </w:t>
              <w:br/>
              <w:t xml:space="preserve">мкр. Молодежный» 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ул. Рождественская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Дачная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«Центральный рынок -мкр. Молодежный - </w:t>
              <w:br/>
              <w:t xml:space="preserve">мкр. Юбилейный»</w:t>
              <w:br/>
              <w:t xml:space="preserve"> 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Дачная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Рождественская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Народная -</w:t>
              <w:br/>
              <w:t xml:space="preserve"> ул. Фрунзе -  </w:t>
              <w:br/>
              <w:t xml:space="preserve">ул. Королева» </w:t>
              <w:br/>
              <w:t xml:space="preserve">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                    </w:t>
              <w:br/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         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bookmarkEnd w:id="0"/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Лизы Чайкиной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проспект Горняков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Гастелло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Лебеди -</w:t>
              <w:br/>
              <w:t xml:space="preserve">ул. Преображенская» (кольцевой)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Лизы Чайкиной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 -</w:t>
              <w:br/>
              <w:t xml:space="preserve">ул. Раевского» </w:t>
              <w:br/>
              <w:t xml:space="preserve">(кольцевой) 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«Губкин - с. Скородное -</w:t>
              <w:br/>
              <w:t xml:space="preserve"> х. Муравка»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 – 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Скородное-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Чуево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Вязовое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Радьковка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Чуево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- Муравка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Скородное-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Чуево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Вязовое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Радьковка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«Короча-Губкин-г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раница Курской области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- Ольховатка</w:t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13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 - </w:t>
              <w:br/>
              <w:t xml:space="preserve">с. Кладовое»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ица Курской области» - Солнцево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13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13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 -</w:t>
              <w:br/>
              <w:t xml:space="preserve">с. Аверино»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хангельское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13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с. Аверино 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ица Курской области» - Солнцево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п. Троицкий» «г. Губкин - п. Троицкий -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х. Михайловский»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</w:t>
              <w:br/>
              <w:t xml:space="preserve">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Михайловский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Осиновский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Михайловский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</w:t>
              <w:br/>
              <w:t xml:space="preserve">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 </w:t>
              <w:br/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23.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103а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 - </w:t>
              <w:br/>
              <w:t xml:space="preserve">п. Троицкий»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</w:t>
              <w:br/>
              <w:t xml:space="preserve">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</w:t>
              <w:br/>
              <w:t xml:space="preserve">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ургическая </w:t>
              <w:br/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24.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104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«г. Губкин - с. Петровки -с.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Заломное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-Ольховатка»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Долгое - Петровки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«г. Губкин -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с. Петровки 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с. Ивановка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Ивановка –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Ивановка –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Истобное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Коньшино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</w:t>
              <w:br/>
              <w:t xml:space="preserve">х. Жилин Колодезь»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Юрьевка – Степное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-Жилин Колодезь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Юрьевка – Степное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27.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107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Истобное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</w:t>
              <w:br/>
              <w:t xml:space="preserve">с. Степное»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Юрьевка – Степное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«Юрьевка-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Скородное»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Куфлиевка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Скородное- Юрьевка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Юрьевка – Степное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Богословка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 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Дальняя Ливенка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Чибисовка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29.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109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Осколец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Осколец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 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Мелавое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Малавое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Сапрыкино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</w:t>
              <w:br/>
              <w:t xml:space="preserve">с. Успенка»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Сергиевка-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Сапрыкино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Копцево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Сергиевка – Пугачи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д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прыкино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-Орлик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Сергиевка-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Сапрыкино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Копцево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Сергиевка – Пугачи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а./д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г. Старый Оскол ч/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з мкр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. Лукьяновка»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Старый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Оскол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Песчанка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Николаевка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Литвинова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Пролетарская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Циолковского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1-й Конной Армии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пр-т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Угарова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1-й Конно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й Армии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Циолковского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Пролетарская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Литвинова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Старый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Оскол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Песчаека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Николаевка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Ударников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Бубнова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 - с. Вислая</w:t>
              <w:br/>
              <w:t xml:space="preserve"> Дубрава 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Чапкино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Долгое-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Строкино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Сиреневая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Муравская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Рождественская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Вислая Дубрава-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Русановка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Чапкино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Раздольная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Кольцевая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Вислая Дубрава-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Русановка-Чапкино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Рождественская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Муравская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Сиреневая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Долгое-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Строкино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1"/>
              <w:jc w:val="center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«г. Губкин - п. Казацкая Степь»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 - </w:t>
              <w:br/>
              <w:t xml:space="preserve">Каз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ацкая Степь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-граница Курской области» - </w:t>
              <w:br/>
              <w:t xml:space="preserve">Казацкая Степь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 - с. Скородное 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Уколово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Морозово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Октябрьский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Уколово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Скородное – Юрьевка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</w:t>
              <w:br/>
              <w:t xml:space="preserve">с. Архангельское -</w:t>
              <w:br/>
              <w:t xml:space="preserve">с. Гущино»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Архангельское-граница Курской области-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Архангельское – Гущино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Арханг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ельское-граница Курской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 - г. Старый Оскол»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(ул. Народная)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Юго-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Западный обход </w:t>
              <w:br/>
              <w:t xml:space="preserve">г. Старый Оскол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пр-т Губкина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Комсомольский пр-т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Октябрьская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Прядченко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ХХ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V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ъезда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КПСС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пр-т Алекс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Угарова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Архитектора Бутовой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Старый Оскол Автовокзал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Архитектора Бутовой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пр-т Алексея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Угарова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ХХ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V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ъезда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КПСС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Прядченко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Комсомольский пр-т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Комсомольский пр-т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пр-т Губкина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Юго-Западный обход </w:t>
              <w:br/>
              <w:t xml:space="preserve">г. Старый Оскол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Воинов-Интернационалистов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38.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121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Солнцево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Истобное»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ца Курской области» - Солнцево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области» - </w:t>
              <w:br/>
              <w:t xml:space="preserve">Загорье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Железнодорожная  </w:t>
              <w:br/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 - 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Телешовка 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-с. Корочка»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Скородное- Кочки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«Кочки- Толстое-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Ивановка»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Огиблянка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Толстое – Корочка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Скородн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Кочки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  <w:br/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Телешовка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Ольховатка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Железнодорожная  </w:t>
              <w:br/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40.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123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</w:t>
              <w:br/>
              <w:t xml:space="preserve">сады «Родник»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сады «Родник»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123а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0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 </w:t>
              <w:br/>
              <w:t xml:space="preserve">сады «Родник» до </w:t>
              <w:br/>
              <w:t xml:space="preserve">с. Долгое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сады «Родник»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сады «Михайловские»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 Мясокомбината </w:t>
              <w:br/>
              <w:t xml:space="preserve">до п. Троицкий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125</w:t>
            </w:r>
            <w:r>
              <w:rPr>
                <w:color w:val="000000" w:themeColor="text1"/>
                <w:vertAlign w:val="superscript"/>
              </w:rPr>
            </w:r>
            <w:r>
              <w:rPr>
                <w:color w:val="000000" w:themeColor="text1"/>
                <w:vertAlign w:val="superscript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 - </w:t>
              <w:br/>
              <w:t xml:space="preserve">с. Теплый Колодезь»</w:t>
            </w: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Теплый Колодезь-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 - Теп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лый Колодезь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 </w:t>
              <w:br/>
              <w:t xml:space="preserve">сады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Осколец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jc w:val="center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«г. Губкин -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с. Теплый</w:t>
            </w:r>
            <w:r>
              <w:rPr>
                <w:sz w:val="24"/>
                <w:szCs w:val="24"/>
                <w:lang w:val="ru-RU"/>
              </w:rPr>
              <w:t xml:space="preserve"> Колодезь»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Теплый Колодезь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 - Теплый Колод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езь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 - 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Кандаурово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Кандаурово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Овражная-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Кандаурово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проезд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color w:val="000000" w:themeColor="text1"/>
                <w:szCs w:val="24"/>
              </w:rPr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</w:t>
              <w:br/>
              <w:t xml:space="preserve">п. Заповедный»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а./д «Короча-Губкин-граница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Заповедный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а./д «Короча-Губкин-граница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48.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716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pStyle w:val="900"/>
              <w:ind w:left="0" w:right="-108"/>
              <w:jc w:val="left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141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2692" w:type="dxa"/>
            <w:vAlign w:val="center"/>
            <w:textDirection w:val="lrTb"/>
            <w:noWrap w:val="false"/>
          </w:tcPr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lang w:val="ru-RU"/>
              </w:rPr>
            </w:r>
            <w:r>
              <w:rPr>
                <w:rFonts w:eastAsia="Times New Roman"/>
                <w:color w:val="000000" w:themeColor="text1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highlight w:val="none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 -</w:t>
              <w:br/>
              <w:t xml:space="preserve">с. Никаноровка 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Уколово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 (рабочие дни)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Октябрьский-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Уколово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Калинин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 - 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Кочегуры»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01"/>
              <w:ind w:left="-108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119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Кочегуры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Русская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Халань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252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 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252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ind w:left="0" w:right="0" w:firstLine="425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Документу планирования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25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пассажиров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3685" w:right="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и багажа автомобильным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транспортом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по муниципальным 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маршрутам</w:t>
        <w:br/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 территории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25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,</w:t>
        <w:br/>
        <w:t xml:space="preserve"> планируемых к изменению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7"/>
        <w:tblpPr w:horzAnchor="margin" w:tblpXSpec="left" w:vertAnchor="text" w:tblpY="216" w:leftFromText="180" w:topFromText="0" w:rightFromText="180" w:bottomFromText="0"/>
        <w:tblW w:w="9634" w:type="dxa"/>
        <w:tblLayout w:type="fixed"/>
        <w:tblLook w:val="04A0" w:firstRow="1" w:lastRow="0" w:firstColumn="1" w:lastColumn="0" w:noHBand="0" w:noVBand="1"/>
      </w:tblPr>
      <w:tblGrid>
        <w:gridCol w:w="567"/>
        <w:gridCol w:w="878"/>
        <w:gridCol w:w="23"/>
        <w:gridCol w:w="1886"/>
        <w:gridCol w:w="2173"/>
        <w:gridCol w:w="1417"/>
        <w:gridCol w:w="1321"/>
      </w:tblGrid>
      <w:tr>
        <w:tblPrEx/>
        <w:trPr>
          <w:trHeight w:val="230"/>
          <w:tblHeader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W w:w="8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маршрута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W w:w="19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Наименование муниципального маршрута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 xml:space="preserve">Путь следования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pStyle w:val="895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95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Вид перевозок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r>
          </w:p>
          <w:p>
            <w:pPr>
              <w:pStyle w:val="895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W w:w="1321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Дата внесения изменений 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895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в реестр маршрутов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регулярных перевозок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878" w:type="dxa"/>
            <w:vAlign w:val="center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W w:w="1909" w:type="dxa"/>
            <w:vAlign w:val="center"/>
            <w:textDirection w:val="lrTb"/>
            <w:noWrap w:val="false"/>
          </w:tcPr>
          <w:p>
            <w:pPr>
              <w:pStyle w:val="88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88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«мкр. Лебеди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ул. Преображенская»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(кольцевой)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Ленина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Народная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Лизы Чайкиной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а/д М-2 «Крым»</w:t>
              <w:br/>
              <w:t xml:space="preserve">  Прохоровка- Губкин - Р-298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Революционная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3"/>
              <w:tabs>
                <w:tab w:val="left" w:pos="574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78" w:type="dxa"/>
            <w:vAlign w:val="center"/>
            <w:textDirection w:val="lrTb"/>
            <w:noWrap w:val="false"/>
          </w:tcPr>
          <w:p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«г. Губкин -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Бобровы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Дворы - </w:t>
              <w:br/>
              <w:t xml:space="preserve">с. Аверино»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подъезд к селу </w:t>
              <w:br/>
              <w:t xml:space="preserve">Заломное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 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ул. Урожайная 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подъезд к селу </w:t>
              <w:br/>
              <w:t xml:space="preserve">Заломное 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Бобровы Дворы- Чаплыжное 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хангельское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878" w:type="dxa"/>
            <w:vAlign w:val="center"/>
            <w:textDirection w:val="lrTb"/>
            <w:noWrap w:val="false"/>
          </w:tcPr>
          <w:p>
            <w:pPr>
              <w:jc w:val="both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102 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W w:w="19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Аверино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Дворы»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подъезд к селу </w:t>
              <w:br/>
              <w:t xml:space="preserve">Заломное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 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ул. Урожайная 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подъезд к селу </w:t>
              <w:br/>
              <w:t xml:space="preserve">Заломное 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а/д Бобровы Дворы- Чаплыжное 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ица Курской области»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Богородицкое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gridSpan w:val="2"/>
            <w:tcW w:w="9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eastAsia="ar-SA"/>
              </w:rPr>
              <w:t xml:space="preserve">103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г. Губкин-</w:t>
              <w:br/>
              <w:t xml:space="preserve">п. Троицкий» </w:t>
              <w:br/>
              <w:t xml:space="preserve">«г. Губкин-</w:t>
              <w:br/>
              <w:t xml:space="preserve">п. Троицкий-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br/>
              <w:t xml:space="preserve">х. Михайловский»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Лазарева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п. Троицкий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Михайловский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сады «Михайловские»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Осиновский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х. Михайловский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грани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ца Курской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до п. Троицкий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 ул. Артема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132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W w:w="9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105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</w:p>
        </w:tc>
        <w:tc>
          <w:tcPr>
            <w:tcW w:w="188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 -</w:t>
              <w:br/>
              <w:t xml:space="preserve">с. Петровки 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Ивановка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«Губкин 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кое 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-Ольховатка»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а/д Долгое - Петровки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-Архангель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ское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Никаноровк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-Ольховатка» 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Чаплыжное-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Ивановка-«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 – граница Курской области»</w:t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Чаплыжное-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Ивановка«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 – граница Курской области»</w:t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-Архангельское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-Ольховатка» - </w:t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b05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 w:themeColor="text1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132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tcW w:w="878" w:type="dxa"/>
            <w:vAlign w:val="center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W w:w="19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«мкр. Журавлики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Теплый </w:t>
              <w:br/>
              <w:t xml:space="preserve">Колодезь»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л. Королева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л. Фрунзе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Чайковского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Губкин-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Теплый Колодезь-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а/д Губкин - Теп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лый Колодезь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ихайловская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Ул. Колодезная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а/д мкр. Юбилейный - с. Теплый Колодезь </w:t>
              <w:br/>
              <w:t xml:space="preserve">ул. Российская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89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</w:tr>
    </w:tbl>
    <w:p>
      <w:pPr>
        <w:pStyle w:val="899"/>
        <w:jc w:val="center"/>
        <w:spacing w:line="28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Документу планирования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пассажиров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багажа автомобильным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транспортом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по муниципальным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маршрутам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5102" w:right="0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регулярных перевозок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Губкинского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5103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маршрутов регулярных перевозок,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планируемых к отмене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7"/>
        <w:tblpPr w:horzAnchor="margin" w:tblpX="-500" w:vertAnchor="text" w:tblpY="996" w:leftFromText="180" w:topFromText="0" w:rightFromText="180" w:bottomFromText="0"/>
        <w:tblW w:w="10279" w:type="dxa"/>
        <w:tblLayout w:type="fixed"/>
        <w:tblLook w:val="04A0" w:firstRow="1" w:lastRow="0" w:firstColumn="1" w:lastColumn="0" w:noHBand="0" w:noVBand="1"/>
      </w:tblPr>
      <w:tblGrid>
        <w:gridCol w:w="676"/>
        <w:gridCol w:w="1024"/>
        <w:gridCol w:w="1843"/>
        <w:gridCol w:w="2835"/>
        <w:gridCol w:w="1843"/>
        <w:gridCol w:w="2058"/>
      </w:tblGrid>
      <w:tr>
        <w:tblPrEx/>
        <w:trPr>
          <w:trHeight w:val="230"/>
          <w:tblHeader/>
        </w:trPr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маршрута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  <w:t xml:space="preserve">Наименование муниципального маршрута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Путь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  <w:t xml:space="preserve">следования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spacing w:line="28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Вид перевозок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0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Дата внесения изменений в реестр маршрутов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</w:p>
        </w:tc>
        <w:tc>
          <w:tcPr>
            <w:tcW w:w="1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104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  <w:p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«г. Губкин -</w:t>
              <w:br/>
              <w:t xml:space="preserve">с. Петровки -</w:t>
              <w:br/>
              <w:t xml:space="preserve">с.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Заломное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кое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-Ольховатка»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Долгое - Петровки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«Губкин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Аверино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-Архангель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ское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Никаноровка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-Ольховатка»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Солнцево 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Истобное»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Бобровы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Дворы-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Чаплыжное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ца Курской области» - Солнцево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области» - Загорье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Истобное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Железнодорожная  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5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1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г. Губкин 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сады «Михайловские»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Свердлова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Горького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Маяковского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от Мясокомбината </w:t>
              <w:br/>
              <w:t xml:space="preserve">до п. Троицкий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Лукьяно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граница Курской области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 Мясокомбината </w:t>
              <w:br/>
              <w:t xml:space="preserve">до п. Троицкий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Металлургическая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Артема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Мира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5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1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 сады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Осколец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Малиновая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Анатолия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Кретова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Преображенская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Космонавтов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Севастопольская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0"/>
              </w:rPr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95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05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tcW w:w="1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«г. Губкин-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с.Теплый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Колодезь»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Теплый Колодезь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Центральная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Губкин - Теплый Колод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езь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Святомихайловская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Алисова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Раевского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058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tcW w:w="1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spacing w:line="18" w:lineRule="atLeas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158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«г. Губкин -</w:t>
              <w:br/>
              <w:t xml:space="preserve">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Кочегуры»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Кирова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Фрунзе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Губкин-граница Курской области»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Коньш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Кочегуры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– Русская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Халань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а/д «Короча-Губкин-г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Курской области»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Богословка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/д «Короча-Губк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ин-г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раница Курской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Белгородская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Железнодорожная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Победы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Комсомольская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Лазарева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9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ул. Дзержинского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Регулярные перевозки по регулируемым тарифам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5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01.06.2026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</w:p>
        </w:tc>
      </w:tr>
    </w:tbl>
    <w:p>
      <w:pPr>
        <w:pStyle w:val="89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 </w:t>
      </w:r>
      <w:r>
        <w:rPr>
          <w:rFonts w:ascii="Times New Roman" w:hAnsi="Times New Roman" w:cs="Times New Roman"/>
          <w:b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5"/>
        <w:ind w:left="0" w:right="0" w:firstLine="439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Документу планирования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пассажиров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0" w:right="0" w:firstLine="43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багажа автомобильным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транспортом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          по муниципальным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маршрутам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4394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регулярных перевозок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Губкинского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left="4394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5"/>
        <w:ind w:firstLine="48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9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График</w:t>
        <w:br/>
        <w:t xml:space="preserve"> заключения муниципальных контрактов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spacing w:before="0" w:before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выполнение работ, связанных с осуществлением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регулярных </w:t>
        <w:br/>
        <w:t xml:space="preserve">перевозок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пассажиров и багажа автомобильным транспортом </w:t>
        <w:br/>
        <w:t xml:space="preserve">по регулируемым тарифам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spacing w:line="28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9"/>
        <w:jc w:val="center"/>
        <w:spacing w:line="283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97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831"/>
        <w:gridCol w:w="3685"/>
      </w:tblGrid>
      <w:tr>
        <w:tblPrEx/>
        <w:trPr>
          <w:trHeight w:val="1117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spacing w:line="283" w:lineRule="atLeas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№ п/п</w: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83" w:lineRule="atLeast"/>
              <w:widowControl w:val="o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Номер маршрута</w: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895"/>
              <w:ind w:left="0" w:right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маршрута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00"/>
              <w:ind w:left="0" w:right="0"/>
              <w:jc w:val="both"/>
              <w:spacing w:before="0" w:beforeAutospacing="0" w:after="0" w:afterAutospacing="0" w:line="240" w:lineRule="auto"/>
              <w:widowControl w:val="off"/>
              <w:rPr>
                <w:b/>
                <w:bCs/>
                <w:color w:val="000000" w:themeColor="text1"/>
              </w:rPr>
              <w:suppressLineNumbers w:val="0"/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pStyle w:val="895"/>
              <w:jc w:val="center"/>
              <w:spacing w:line="28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Срок, не позднее которого должен быть заключен муниципальный  контракт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895"/>
              <w:jc w:val="center"/>
              <w:spacing w:line="28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 -</w:t>
              <w:br/>
              <w:t xml:space="preserve">шахта им. Губкина»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3 «ул. 9-е Января -мкр.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Йотовка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-мкр. Лебеди»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3а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Дзержинского-мкр. Лебеди-мкр.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Йотовка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4б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Дзержинского- мкр. Журавлики-мкр. Салтыково»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«ул. Дзержинского-</w:t>
              <w:br/>
              <w:t xml:space="preserve">мкр. Салтыково-</w:t>
              <w:br/>
              <w:t xml:space="preserve">гор. Кладбище»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Журавлики-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Новоселовка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-гор. Кладбище»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«пл. Скворцова- мкр. Журавлики»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«ул. Дзержинского-</w:t>
              <w:br/>
              <w:t xml:space="preserve">мкр. Лукьяновка»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Журавлики-мкр. Лукьяновка»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Дзержинского-ул. Королева»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Журавлики-</w:t>
              <w:br/>
              <w:t xml:space="preserve">АТУ АО «ЛГОК»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«пл.  Скворцова-ул. Чайковского-ул. Преображенская - Собор»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«Центральный рынок -мкр. Юбилейный -мкр. Молодежный»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«Центральный рынок -мкр. Молодежный -мкр. Юбилейный»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«ул. Народная - ул. Фрунзе-  ул. Королева»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Лебеди-ул. Преображенская» (кольцевой)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№ 61 «мкр. Журавлики-ул. Раевского» (кольцевой) 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color w:val="000000" w:themeColor="text1"/>
                <w:szCs w:val="24"/>
                <w:lang w:val="ru-RU"/>
              </w:rPr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0"/>
              <w:ind w:left="0" w:right="0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</w:rPr>
              <w:suppressLineNumbers w:val="0"/>
            </w:pPr>
            <w:r>
              <w:rPr>
                <w:color w:val="000000" w:themeColor="text1"/>
              </w:rPr>
              <w:t xml:space="preserve"> «Губкин - с. Скородное - х. Муравка»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Дворы-с. Кладовое»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Дворы-с. Аверино» 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102б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Аверино-с.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Бобровы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Дворы»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Губкин-п. Троицкий» «г. Губкин-п. Троицкий-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br/>
              <w:t xml:space="preserve">х. Михайловский»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103а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«мкр. Журавлики- п. Троицкий»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 с. Петровки -</w:t>
              <w:br/>
              <w:t xml:space="preserve">с. Ивановка»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Истобное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Коньшино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-х. Жилин Колодезь»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Истобное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-с. Степное»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Богословка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Осколец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left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Мелавое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Сапрыкино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</w:t>
              <w:br/>
              <w:t xml:space="preserve">с. Успенка»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Губкин-г. Старый Оскол ч/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змкр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. Лукьяновка»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Вислая Дубрава-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Чапкино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0"/>
              <w:ind w:left="0" w:right="0"/>
              <w:jc w:val="both"/>
              <w:spacing w:before="0" w:beforeAutospacing="0" w:after="0" w:afterAutospacing="0" w:line="240" w:lineRule="auto"/>
              <w:widowControl w:val="off"/>
              <w:rPr>
                <w:color w:val="000000" w:themeColor="text1"/>
              </w:rPr>
              <w:suppressLineNumbers w:val="0"/>
            </w:pPr>
            <w:r>
              <w:rPr>
                <w:color w:val="000000" w:themeColor="text1"/>
              </w:rPr>
              <w:t xml:space="preserve"> «г. Губкин-п. Казацкая Степь»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Скородное-</w:t>
              <w:br/>
              <w:t xml:space="preserve">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Уколово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Архангельское-</w:t>
              <w:br/>
              <w:t xml:space="preserve">с. Гущино»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Губкин-г. Старый Оскол»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Телешовка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-</w:t>
              <w:br/>
              <w:t xml:space="preserve">с. Корочка»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38.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contextualSpacing/>
              <w:ind w:left="0" w:right="0"/>
              <w:spacing w:before="0" w:beforeAutospacing="0" w:after="0" w:afterAutospacing="0" w:line="240" w:lineRule="auto"/>
              <w:rPr>
                <w:rFonts w:eastAsia="Times New Roman"/>
                <w:color w:val="000000" w:themeColor="text1"/>
                <w:highlight w:val="none"/>
                <w:lang w:val="ru-RU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Губкин-сады «Родник»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ind w:left="0" w:right="0"/>
              <w:spacing w:line="240" w:lineRule="auto"/>
              <w:rPr>
                <w:rFonts w:eastAsia="Times New Roman"/>
                <w:color w:val="000000" w:themeColor="text1"/>
                <w:szCs w:val="24"/>
                <w:lang w:val="ru-RU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123а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vMerge w:val="restart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rFonts w:eastAsia="Times New Roman"/>
                <w:color w:val="000000" w:themeColor="text1"/>
                <w:highlight w:val="none"/>
                <w:lang w:val="ru-RU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«г. Губкин-сады «Родник»</w:t>
              <w:br/>
              <w:t xml:space="preserve"> до с. Долгое</w:t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  <w:r>
              <w:rPr>
                <w:rFonts w:eastAsia="Times New Roman"/>
                <w:color w:val="000000" w:themeColor="text1"/>
                <w:highlight w:val="none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ru-RU"/>
              </w:rPr>
              <w:t xml:space="preserve">(сезонный маршрут к дачным и садово-огородным участкам в выходные и праздничные дни)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1"/>
              <w:ind w:left="0" w:right="0"/>
              <w:spacing w:line="240" w:lineRule="auto"/>
              <w:rPr>
                <w:rFonts w:eastAsia="Times New Roman"/>
                <w:color w:val="000000" w:themeColor="text1"/>
                <w:szCs w:val="24"/>
                <w:lang w:val="ru-RU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125</w:t>
            </w:r>
            <w:r>
              <w:rPr>
                <w:color w:val="000000" w:themeColor="text1"/>
                <w:vertAlign w:val="superscript"/>
              </w:rPr>
            </w:r>
            <w:r>
              <w:rPr>
                <w:color w:val="000000" w:themeColor="text1"/>
                <w:vertAlign w:val="superscript"/>
              </w:rPr>
            </w:r>
          </w:p>
        </w:tc>
        <w:tc>
          <w:tcPr>
            <w:tcBorders>
              <w:bottom w:val="single" w:color="000000" w:sz="4" w:space="0"/>
            </w:tcBorders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«мкр. Журавлики-с. Теплый Колодезь»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 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Кандаурово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42.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contextualSpacing w:val="0"/>
              <w:ind w:left="0" w:right="0"/>
              <w:jc w:val="left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Губкин-п. Заповедный»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664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90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43.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00"/>
              <w:ind w:left="-113" w:right="-108"/>
              <w:jc w:val="center"/>
              <w:spacing w:before="0" w:beforeAutospacing="0" w:after="0" w:afterAutospacing="0" w:line="200" w:lineRule="exact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31" w:type="dxa"/>
            <w:vAlign w:val="center"/>
            <w:textDirection w:val="lrTb"/>
            <w:noWrap w:val="false"/>
          </w:tcPr>
          <w:p>
            <w:pPr>
              <w:pStyle w:val="901"/>
              <w:ind w:left="0" w:right="0"/>
              <w:jc w:val="center"/>
              <w:spacing w:line="240" w:lineRule="auto"/>
              <w:rPr>
                <w:color w:val="000000" w:themeColor="text1"/>
                <w:szCs w:val="24"/>
              </w:rPr>
              <w:suppressLineNumbers w:val="0"/>
            </w:pP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«г. Губкин-с. Никаноровка-с. 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Уколово</w:t>
            </w:r>
            <w:r>
              <w:rPr>
                <w:rFonts w:eastAsia="Times New Roman"/>
                <w:color w:val="000000" w:themeColor="text1"/>
                <w:szCs w:val="24"/>
                <w:lang w:val="ru-RU"/>
              </w:rPr>
              <w:t xml:space="preserve">» (рабочие дни)</w:t>
            </w:r>
            <w:r>
              <w:rPr>
                <w:color w:val="000000" w:themeColor="text1"/>
                <w:szCs w:val="24"/>
              </w:rPr>
            </w:r>
            <w:r>
              <w:rPr>
                <w:color w:val="000000" w:themeColor="text1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tabs>
                <w:tab w:val="left" w:pos="1843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888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828" w:right="707" w:bottom="851" w:left="1560" w:header="426" w:footer="41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29495274"/>
      <w:docPartObj>
        <w:docPartGallery w:val="Page Numbers (Top of Page)"/>
        <w:docPartUnique w:val="true"/>
      </w:docPartObj>
      <w:rPr/>
    </w:sdtPr>
    <w:sdtContent>
      <w:p>
        <w:pPr>
          <w:pStyle w:val="89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12</w:t>
        </w:r>
        <w:r>
          <w:fldChar w:fldCharType="end"/>
        </w:r>
        <w:r/>
      </w:p>
    </w:sdtContent>
  </w:sdt>
  <w:p>
    <w:pPr>
      <w:pStyle w:val="89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721"/>
    <w:link w:val="712"/>
    <w:uiPriority w:val="9"/>
    <w:rPr>
      <w:rFonts w:ascii="Arial" w:hAnsi="Arial" w:eastAsia="Arial" w:cs="Arial"/>
      <w:sz w:val="40"/>
      <w:szCs w:val="40"/>
    </w:rPr>
  </w:style>
  <w:style w:type="character" w:styleId="697">
    <w:name w:val="Heading 3 Char"/>
    <w:basedOn w:val="721"/>
    <w:link w:val="714"/>
    <w:uiPriority w:val="9"/>
    <w:rPr>
      <w:rFonts w:ascii="Arial" w:hAnsi="Arial" w:eastAsia="Arial" w:cs="Arial"/>
      <w:sz w:val="30"/>
      <w:szCs w:val="30"/>
    </w:rPr>
  </w:style>
  <w:style w:type="character" w:styleId="698">
    <w:name w:val="Heading 4 Char"/>
    <w:basedOn w:val="721"/>
    <w:link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699">
    <w:name w:val="Heading 5 Char"/>
    <w:basedOn w:val="721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00">
    <w:name w:val="Heading 6 Char"/>
    <w:basedOn w:val="721"/>
    <w:link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01">
    <w:name w:val="Heading 7 Char"/>
    <w:basedOn w:val="721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2">
    <w:name w:val="Heading 8 Char"/>
    <w:basedOn w:val="721"/>
    <w:link w:val="719"/>
    <w:uiPriority w:val="9"/>
    <w:rPr>
      <w:rFonts w:ascii="Arial" w:hAnsi="Arial" w:eastAsia="Arial" w:cs="Arial"/>
      <w:i/>
      <w:iCs/>
      <w:sz w:val="22"/>
      <w:szCs w:val="22"/>
    </w:rPr>
  </w:style>
  <w:style w:type="character" w:styleId="703">
    <w:name w:val="Heading 9 Char"/>
    <w:basedOn w:val="72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04">
    <w:name w:val="Title Char"/>
    <w:basedOn w:val="721"/>
    <w:link w:val="733"/>
    <w:uiPriority w:val="10"/>
    <w:rPr>
      <w:sz w:val="48"/>
      <w:szCs w:val="48"/>
    </w:rPr>
  </w:style>
  <w:style w:type="character" w:styleId="705">
    <w:name w:val="Subtitle Char"/>
    <w:basedOn w:val="721"/>
    <w:link w:val="735"/>
    <w:uiPriority w:val="11"/>
    <w:rPr>
      <w:sz w:val="24"/>
      <w:szCs w:val="24"/>
    </w:rPr>
  </w:style>
  <w:style w:type="character" w:styleId="706">
    <w:name w:val="Quote Char"/>
    <w:link w:val="737"/>
    <w:uiPriority w:val="29"/>
    <w:rPr>
      <w:i/>
    </w:rPr>
  </w:style>
  <w:style w:type="character" w:styleId="707">
    <w:name w:val="Intense Quote Char"/>
    <w:link w:val="739"/>
    <w:uiPriority w:val="30"/>
    <w:rPr>
      <w:i/>
    </w:rPr>
  </w:style>
  <w:style w:type="character" w:styleId="708">
    <w:name w:val="Caption Char"/>
    <w:basedOn w:val="721"/>
    <w:link w:val="743"/>
    <w:uiPriority w:val="35"/>
    <w:rPr>
      <w:b/>
      <w:bCs/>
      <w:color w:val="4f81bd" w:themeColor="accent1"/>
      <w:sz w:val="18"/>
      <w:szCs w:val="18"/>
    </w:rPr>
  </w:style>
  <w:style w:type="character" w:styleId="709">
    <w:name w:val="Footnote Text Char"/>
    <w:link w:val="871"/>
    <w:uiPriority w:val="99"/>
    <w:rPr>
      <w:sz w:val="18"/>
    </w:rPr>
  </w:style>
  <w:style w:type="character" w:styleId="710">
    <w:name w:val="Endnote Text Char"/>
    <w:link w:val="874"/>
    <w:uiPriority w:val="99"/>
    <w:rPr>
      <w:sz w:val="20"/>
    </w:rPr>
  </w:style>
  <w:style w:type="paragraph" w:styleId="711" w:default="1">
    <w:name w:val="Normal"/>
    <w:qFormat/>
  </w:style>
  <w:style w:type="paragraph" w:styleId="712">
    <w:name w:val="Heading 1"/>
    <w:basedOn w:val="711"/>
    <w:next w:val="711"/>
    <w:link w:val="72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13">
    <w:name w:val="Heading 2"/>
    <w:basedOn w:val="711"/>
    <w:next w:val="711"/>
    <w:link w:val="896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714">
    <w:name w:val="Heading 3"/>
    <w:basedOn w:val="711"/>
    <w:next w:val="711"/>
    <w:link w:val="72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5">
    <w:name w:val="Heading 4"/>
    <w:basedOn w:val="711"/>
    <w:next w:val="711"/>
    <w:link w:val="72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711"/>
    <w:next w:val="711"/>
    <w:link w:val="72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7">
    <w:name w:val="Heading 6"/>
    <w:basedOn w:val="711"/>
    <w:next w:val="711"/>
    <w:link w:val="72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8">
    <w:name w:val="Heading 7"/>
    <w:basedOn w:val="711"/>
    <w:next w:val="711"/>
    <w:link w:val="73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9">
    <w:name w:val="Heading 8"/>
    <w:basedOn w:val="711"/>
    <w:next w:val="711"/>
    <w:link w:val="73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0">
    <w:name w:val="Heading 9"/>
    <w:basedOn w:val="711"/>
    <w:next w:val="711"/>
    <w:link w:val="73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 w:default="1">
    <w:name w:val="Default Paragraph Font"/>
    <w:uiPriority w:val="1"/>
    <w:semiHidden/>
    <w:unhideWhenUsed/>
  </w:style>
  <w:style w:type="table" w:styleId="7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3" w:default="1">
    <w:name w:val="No List"/>
    <w:uiPriority w:val="99"/>
    <w:semiHidden/>
    <w:unhideWhenUsed/>
  </w:style>
  <w:style w:type="character" w:styleId="724" w:customStyle="1">
    <w:name w:val="Заголовок 1 Знак"/>
    <w:basedOn w:val="721"/>
    <w:link w:val="712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Heading 2 Char"/>
    <w:basedOn w:val="721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basedOn w:val="721"/>
    <w:link w:val="714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Заголовок 4 Знак"/>
    <w:basedOn w:val="721"/>
    <w:link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21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21"/>
    <w:link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21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21"/>
    <w:link w:val="719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2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Title"/>
    <w:basedOn w:val="711"/>
    <w:next w:val="711"/>
    <w:link w:val="734"/>
    <w:uiPriority w:val="10"/>
    <w:qFormat/>
    <w:pPr>
      <w:contextualSpacing/>
      <w:spacing w:before="300"/>
    </w:pPr>
    <w:rPr>
      <w:sz w:val="48"/>
      <w:szCs w:val="48"/>
    </w:rPr>
  </w:style>
  <w:style w:type="character" w:styleId="734" w:customStyle="1">
    <w:name w:val="Название Знак"/>
    <w:basedOn w:val="721"/>
    <w:link w:val="733"/>
    <w:uiPriority w:val="10"/>
    <w:rPr>
      <w:sz w:val="48"/>
      <w:szCs w:val="48"/>
    </w:rPr>
  </w:style>
  <w:style w:type="paragraph" w:styleId="735">
    <w:name w:val="Subtitle"/>
    <w:basedOn w:val="711"/>
    <w:next w:val="711"/>
    <w:link w:val="736"/>
    <w:uiPriority w:val="11"/>
    <w:qFormat/>
    <w:pPr>
      <w:spacing w:before="200"/>
    </w:pPr>
    <w:rPr>
      <w:sz w:val="24"/>
      <w:szCs w:val="24"/>
    </w:rPr>
  </w:style>
  <w:style w:type="character" w:styleId="736" w:customStyle="1">
    <w:name w:val="Подзаголовок Знак"/>
    <w:basedOn w:val="721"/>
    <w:link w:val="735"/>
    <w:uiPriority w:val="11"/>
    <w:rPr>
      <w:sz w:val="24"/>
      <w:szCs w:val="24"/>
    </w:rPr>
  </w:style>
  <w:style w:type="paragraph" w:styleId="737">
    <w:name w:val="Quote"/>
    <w:basedOn w:val="711"/>
    <w:next w:val="711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711"/>
    <w:next w:val="711"/>
    <w:link w:val="7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character" w:styleId="741" w:customStyle="1">
    <w:name w:val="Header Char"/>
    <w:basedOn w:val="721"/>
    <w:uiPriority w:val="99"/>
  </w:style>
  <w:style w:type="character" w:styleId="742" w:customStyle="1">
    <w:name w:val="Footer Char"/>
    <w:basedOn w:val="721"/>
    <w:uiPriority w:val="99"/>
  </w:style>
  <w:style w:type="paragraph" w:styleId="743">
    <w:name w:val="Caption"/>
    <w:basedOn w:val="711"/>
    <w:next w:val="711"/>
    <w:link w:val="74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4" w:customStyle="1">
    <w:name w:val="Название объекта Знак"/>
    <w:basedOn w:val="721"/>
    <w:link w:val="743"/>
    <w:uiPriority w:val="35"/>
    <w:rPr>
      <w:b/>
      <w:bCs/>
      <w:color w:val="4f81bd" w:themeColor="accent1"/>
      <w:sz w:val="18"/>
      <w:szCs w:val="18"/>
    </w:rPr>
  </w:style>
  <w:style w:type="table" w:styleId="745" w:customStyle="1">
    <w:name w:val="Table Grid Light"/>
    <w:basedOn w:val="7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6">
    <w:name w:val="Plain Table 1"/>
    <w:basedOn w:val="72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2"/>
    <w:basedOn w:val="72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3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>
    <w:name w:val="Plain Table 4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Plain Table 5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>
    <w:name w:val="Grid Table 1 Light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 w:customStyle="1">
    <w:name w:val="Grid Table 4 - Accent 1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4" w:customStyle="1">
    <w:name w:val="Grid Table 4 - Accent 2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5" w:customStyle="1">
    <w:name w:val="Grid Table 4 - Accent 3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6" w:customStyle="1">
    <w:name w:val="Grid Table 4 - Accent 4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7" w:customStyle="1">
    <w:name w:val="Grid Table 4 - Accent 5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8" w:customStyle="1">
    <w:name w:val="Grid Table 4 - Accent 6"/>
    <w:basedOn w:val="72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9">
    <w:name w:val="Grid Table 5 Dark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6">
    <w:name w:val="Grid Table 6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7" w:customStyle="1">
    <w:name w:val="Grid Table 6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8" w:customStyle="1">
    <w:name w:val="Grid Table 6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9" w:customStyle="1">
    <w:name w:val="Grid Table 6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0" w:customStyle="1">
    <w:name w:val="Grid Table 6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1" w:customStyle="1">
    <w:name w:val="Grid Table 6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 w:customStyle="1">
    <w:name w:val="Grid Table 6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3">
    <w:name w:val="Grid Table 7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1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2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3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4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5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6"/>
    <w:basedOn w:val="7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4">
    <w:name w:val="List Table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5 Dark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>
    <w:name w:val="List Table 6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6" w:customStyle="1">
    <w:name w:val="List Table 6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7" w:customStyle="1">
    <w:name w:val="List Table 6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8" w:customStyle="1">
    <w:name w:val="List Table 6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9" w:customStyle="1">
    <w:name w:val="List Table 6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0" w:customStyle="1">
    <w:name w:val="List Table 6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1" w:customStyle="1">
    <w:name w:val="List Table 6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2">
    <w:name w:val="List Table 7 Colorful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ned - Accent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Lined - Accent 1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1" w:customStyle="1">
    <w:name w:val="Lined - Accent 2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2" w:customStyle="1">
    <w:name w:val="Lined - Accent 3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3" w:customStyle="1">
    <w:name w:val="Lined - Accent 4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4" w:customStyle="1">
    <w:name w:val="Lined - Accent 5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5" w:customStyle="1">
    <w:name w:val="Lined - Accent 6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6" w:customStyle="1">
    <w:name w:val="Bordered &amp; Lined - Accent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Bordered &amp; Lined - Accent 1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Bordered &amp; Lined - Accent 2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Bordered &amp; Lined - Accent 3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Bordered &amp; Lined - Accent 4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Bordered &amp; Lined - Accent 5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Bordered &amp; Lined - Accent 6"/>
    <w:basedOn w:val="72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4" w:customStyle="1">
    <w:name w:val="Bordered - Accent 1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5" w:customStyle="1">
    <w:name w:val="Bordered - Accent 2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6" w:customStyle="1">
    <w:name w:val="Bordered - Accent 3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7" w:customStyle="1">
    <w:name w:val="Bordered - Accent 4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8" w:customStyle="1">
    <w:name w:val="Bordered - Accent 5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9" w:customStyle="1">
    <w:name w:val="Bordered - Accent 6"/>
    <w:basedOn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0">
    <w:name w:val="Hyperlink"/>
    <w:uiPriority w:val="99"/>
    <w:unhideWhenUsed/>
    <w:rPr>
      <w:color w:val="0000ff" w:themeColor="hyperlink"/>
      <w:u w:val="single"/>
    </w:rPr>
  </w:style>
  <w:style w:type="paragraph" w:styleId="871">
    <w:name w:val="footnote text"/>
    <w:basedOn w:val="711"/>
    <w:link w:val="872"/>
    <w:uiPriority w:val="99"/>
    <w:semiHidden/>
    <w:unhideWhenUsed/>
    <w:pPr>
      <w:spacing w:after="40" w:line="240" w:lineRule="auto"/>
    </w:pPr>
    <w:rPr>
      <w:sz w:val="18"/>
    </w:rPr>
  </w:style>
  <w:style w:type="character" w:styleId="872" w:customStyle="1">
    <w:name w:val="Текст сноски Знак"/>
    <w:link w:val="871"/>
    <w:uiPriority w:val="99"/>
    <w:rPr>
      <w:sz w:val="18"/>
    </w:rPr>
  </w:style>
  <w:style w:type="character" w:styleId="873">
    <w:name w:val="footnote reference"/>
    <w:basedOn w:val="721"/>
    <w:uiPriority w:val="99"/>
    <w:unhideWhenUsed/>
    <w:rPr>
      <w:vertAlign w:val="superscript"/>
    </w:rPr>
  </w:style>
  <w:style w:type="paragraph" w:styleId="874">
    <w:name w:val="endnote text"/>
    <w:basedOn w:val="711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 w:customStyle="1">
    <w:name w:val="Текст концевой сноски Знак"/>
    <w:link w:val="874"/>
    <w:uiPriority w:val="99"/>
    <w:rPr>
      <w:sz w:val="20"/>
    </w:rPr>
  </w:style>
  <w:style w:type="character" w:styleId="876">
    <w:name w:val="endnote reference"/>
    <w:basedOn w:val="721"/>
    <w:uiPriority w:val="99"/>
    <w:semiHidden/>
    <w:unhideWhenUsed/>
    <w:rPr>
      <w:vertAlign w:val="superscript"/>
    </w:rPr>
  </w:style>
  <w:style w:type="paragraph" w:styleId="877">
    <w:name w:val="toc 1"/>
    <w:basedOn w:val="711"/>
    <w:next w:val="711"/>
    <w:uiPriority w:val="39"/>
    <w:unhideWhenUsed/>
    <w:pPr>
      <w:spacing w:after="57"/>
    </w:pPr>
  </w:style>
  <w:style w:type="paragraph" w:styleId="878">
    <w:name w:val="toc 2"/>
    <w:basedOn w:val="711"/>
    <w:next w:val="711"/>
    <w:uiPriority w:val="39"/>
    <w:unhideWhenUsed/>
    <w:pPr>
      <w:ind w:left="283"/>
      <w:spacing w:after="57"/>
    </w:pPr>
  </w:style>
  <w:style w:type="paragraph" w:styleId="879">
    <w:name w:val="toc 3"/>
    <w:basedOn w:val="711"/>
    <w:next w:val="711"/>
    <w:uiPriority w:val="39"/>
    <w:unhideWhenUsed/>
    <w:pPr>
      <w:ind w:left="567"/>
      <w:spacing w:after="57"/>
    </w:pPr>
  </w:style>
  <w:style w:type="paragraph" w:styleId="880">
    <w:name w:val="toc 4"/>
    <w:basedOn w:val="711"/>
    <w:next w:val="711"/>
    <w:uiPriority w:val="39"/>
    <w:unhideWhenUsed/>
    <w:pPr>
      <w:ind w:left="850"/>
      <w:spacing w:after="57"/>
    </w:pPr>
  </w:style>
  <w:style w:type="paragraph" w:styleId="881">
    <w:name w:val="toc 5"/>
    <w:basedOn w:val="711"/>
    <w:next w:val="711"/>
    <w:uiPriority w:val="39"/>
    <w:unhideWhenUsed/>
    <w:pPr>
      <w:ind w:left="1134"/>
      <w:spacing w:after="57"/>
    </w:pPr>
  </w:style>
  <w:style w:type="paragraph" w:styleId="882">
    <w:name w:val="toc 6"/>
    <w:basedOn w:val="711"/>
    <w:next w:val="711"/>
    <w:uiPriority w:val="39"/>
    <w:unhideWhenUsed/>
    <w:pPr>
      <w:ind w:left="1417"/>
      <w:spacing w:after="57"/>
    </w:pPr>
  </w:style>
  <w:style w:type="paragraph" w:styleId="883">
    <w:name w:val="toc 7"/>
    <w:basedOn w:val="711"/>
    <w:next w:val="711"/>
    <w:uiPriority w:val="39"/>
    <w:unhideWhenUsed/>
    <w:pPr>
      <w:ind w:left="1701"/>
      <w:spacing w:after="57"/>
    </w:pPr>
  </w:style>
  <w:style w:type="paragraph" w:styleId="884">
    <w:name w:val="toc 8"/>
    <w:basedOn w:val="711"/>
    <w:next w:val="711"/>
    <w:uiPriority w:val="39"/>
    <w:unhideWhenUsed/>
    <w:pPr>
      <w:ind w:left="1984"/>
      <w:spacing w:after="57"/>
    </w:pPr>
  </w:style>
  <w:style w:type="paragraph" w:styleId="885">
    <w:name w:val="toc 9"/>
    <w:basedOn w:val="711"/>
    <w:next w:val="711"/>
    <w:uiPriority w:val="39"/>
    <w:unhideWhenUsed/>
    <w:pPr>
      <w:ind w:left="2268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711"/>
    <w:next w:val="711"/>
    <w:uiPriority w:val="99"/>
    <w:unhideWhenUsed/>
    <w:pPr>
      <w:spacing w:after="0"/>
    </w:pPr>
  </w:style>
  <w:style w:type="paragraph" w:styleId="888">
    <w:name w:val="No Spacing"/>
    <w:uiPriority w:val="1"/>
    <w:qFormat/>
    <w:pPr>
      <w:spacing w:after="0" w:line="240" w:lineRule="auto"/>
    </w:pPr>
  </w:style>
  <w:style w:type="paragraph" w:styleId="889">
    <w:name w:val="Balloon Text"/>
    <w:basedOn w:val="711"/>
    <w:link w:val="89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0" w:customStyle="1">
    <w:name w:val="Текст выноски Знак"/>
    <w:basedOn w:val="721"/>
    <w:link w:val="889"/>
    <w:uiPriority w:val="99"/>
    <w:semiHidden/>
    <w:rPr>
      <w:rFonts w:ascii="Tahoma" w:hAnsi="Tahoma" w:cs="Tahoma"/>
      <w:sz w:val="16"/>
      <w:szCs w:val="16"/>
    </w:rPr>
  </w:style>
  <w:style w:type="paragraph" w:styleId="891">
    <w:name w:val="Header"/>
    <w:basedOn w:val="711"/>
    <w:link w:val="89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2" w:customStyle="1">
    <w:name w:val="Верхний колонтитул Знак"/>
    <w:basedOn w:val="721"/>
    <w:link w:val="891"/>
    <w:uiPriority w:val="99"/>
  </w:style>
  <w:style w:type="paragraph" w:styleId="893">
    <w:name w:val="Footer"/>
    <w:basedOn w:val="711"/>
    <w:link w:val="89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4" w:customStyle="1">
    <w:name w:val="Нижний колонтитул Знак"/>
    <w:basedOn w:val="721"/>
    <w:link w:val="893"/>
    <w:uiPriority w:val="99"/>
  </w:style>
  <w:style w:type="paragraph" w:styleId="89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96" w:customStyle="1">
    <w:name w:val="Заголовок 2 Знак"/>
    <w:basedOn w:val="721"/>
    <w:link w:val="713"/>
    <w:uiPriority w:val="9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table" w:styleId="897">
    <w:name w:val="Table Grid"/>
    <w:basedOn w:val="72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8">
    <w:name w:val="List Paragraph"/>
    <w:basedOn w:val="711"/>
    <w:uiPriority w:val="34"/>
    <w:qFormat/>
    <w:pPr>
      <w:contextualSpacing/>
      <w:ind w:left="720"/>
    </w:pPr>
  </w:style>
  <w:style w:type="paragraph" w:styleId="899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 w:cs="Calibri"/>
      <w:b/>
      <w:szCs w:val="20"/>
      <w:lang w:eastAsia="ru-RU"/>
    </w:rPr>
  </w:style>
  <w:style w:type="paragraph" w:styleId="900" w:customStyle="1">
    <w:name w:val="Обычный (веб)1"/>
    <w:uiPriority w:val="99"/>
    <w:unhideWhenUsed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1" w:customStyle="1">
    <w:name w:val="Содержимое таблицы"/>
    <w:qFormat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Arial" w:cs="Times New Roman"/>
      <w:sz w:val="24"/>
      <w:szCs w:val="20"/>
      <w:lang w:val="en-US" w:eastAsia="zh-CN"/>
    </w:rPr>
  </w:style>
  <w:style w:type="paragraph" w:styleId="902" w:customStyle="1">
    <w:name w:val="Основной текст с отступом"/>
    <w:basedOn w:val="719"/>
    <w:next w:val="733"/>
    <w:link w:val="71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03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LAW&amp;n=456504&amp;dst=3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1EC70-0F4A-45B0-AF97-0675D4F3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drovnikova_nv@gu.adm</cp:lastModifiedBy>
  <cp:revision>151</cp:revision>
  <dcterms:created xsi:type="dcterms:W3CDTF">2024-03-11T08:53:00Z</dcterms:created>
  <dcterms:modified xsi:type="dcterms:W3CDTF">2026-02-06T14:59:05Z</dcterms:modified>
</cp:coreProperties>
</file>